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4EBD" w:rsidRPr="00C04282" w:rsidRDefault="006D4EBD" w:rsidP="00C04282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04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INTERVENTIONAL DECISION MAKING WITH FRACTIONAL FLOW RESERVE FOR CULPRIT LESIONS ASSOCIATED WITH LEFT ANTERIOR DESCENDING ARTERY MYOCARDIAL BRIDGE</w:t>
      </w:r>
    </w:p>
    <w:p w:rsidR="00C04282" w:rsidRDefault="006D4EBD" w:rsidP="00C04282">
      <w:pP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</w:pPr>
      <w:r w:rsidRPr="00C04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H. Patel</w:t>
      </w:r>
      <w:r w:rsidRPr="00C0428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vertAlign w:val="superscript"/>
        </w:rPr>
        <w:t>1</w:t>
      </w:r>
      <w:r w:rsidRPr="00C0428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,</w:t>
      </w:r>
      <w:r w:rsidRPr="00C042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S. Kumar</w:t>
      </w:r>
      <w:r w:rsidRPr="00C0428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1</w:t>
      </w:r>
      <w:r w:rsidRPr="00C04282">
        <w:rPr>
          <w:rFonts w:ascii="Times New Roman" w:eastAsia="Times New Roman" w:hAnsi="Times New Roman" w:cs="Times New Roman"/>
          <w:color w:val="000000"/>
          <w:sz w:val="24"/>
          <w:szCs w:val="24"/>
        </w:rPr>
        <w:t>, N.L. Ko Ko</w:t>
      </w:r>
      <w:r w:rsidRPr="00C0428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1</w:t>
      </w:r>
      <w:r w:rsidRPr="00C04282">
        <w:rPr>
          <w:rFonts w:ascii="Times New Roman" w:eastAsia="Times New Roman" w:hAnsi="Times New Roman" w:cs="Times New Roman"/>
          <w:color w:val="000000"/>
          <w:sz w:val="24"/>
          <w:szCs w:val="24"/>
        </w:rPr>
        <w:t>, J. John</w:t>
      </w:r>
      <w:r w:rsidRPr="00C0428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C04282">
        <w:rPr>
          <w:rFonts w:ascii="Times New Roman" w:eastAsia="Times New Roman" w:hAnsi="Times New Roman" w:cs="Times New Roman"/>
          <w:color w:val="000000"/>
          <w:sz w:val="24"/>
          <w:szCs w:val="24"/>
        </w:rPr>
        <w:t>, P. Mathias</w:t>
      </w:r>
      <w:r w:rsidRPr="00C0428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</w:t>
      </w:r>
    </w:p>
    <w:p w:rsidR="00C04282" w:rsidRDefault="006D4EBD" w:rsidP="00C04282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28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1</w:t>
      </w:r>
      <w:r w:rsidRPr="00C04282">
        <w:rPr>
          <w:rFonts w:ascii="Times New Roman" w:eastAsia="Times New Roman" w:hAnsi="Times New Roman" w:cs="Times New Roman"/>
          <w:color w:val="000000"/>
          <w:sz w:val="24"/>
          <w:szCs w:val="24"/>
        </w:rPr>
        <w:t>Internal Medicine, University of Central Florida College of Medicine/HCA GME Consortium, Kissimmee, FL, USA</w:t>
      </w:r>
    </w:p>
    <w:p w:rsidR="006D4EBD" w:rsidRDefault="006D4EBD" w:rsidP="00C04282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28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C04282">
        <w:rPr>
          <w:rFonts w:ascii="Times New Roman" w:eastAsia="Times New Roman" w:hAnsi="Times New Roman" w:cs="Times New Roman"/>
          <w:color w:val="000000"/>
          <w:sz w:val="24"/>
          <w:szCs w:val="24"/>
        </w:rPr>
        <w:t>Central Florida Cardiac &amp; Vascular Institute, Osceola Regional Medical Center, Kissimmee, FL, USA</w:t>
      </w:r>
    </w:p>
    <w:p w:rsidR="00C04282" w:rsidRPr="00C04282" w:rsidRDefault="00C04282" w:rsidP="00C04282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282" w:rsidRDefault="00C04282" w:rsidP="00C04282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Background: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D4EBD" w:rsidRPr="00C04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="006D4EBD" w:rsidRPr="00C04282">
        <w:rPr>
          <w:rFonts w:ascii="Times New Roman" w:eastAsia="Times New Roman" w:hAnsi="Times New Roman" w:cs="Times New Roman"/>
          <w:color w:val="000000"/>
          <w:sz w:val="24"/>
          <w:szCs w:val="24"/>
        </w:rPr>
        <w:t>Myocardial bridge (MB) entails presence of muscle overlying the epicardial coronary artery, with a prevalence ranging 5% - 86%</w:t>
      </w:r>
      <w:r w:rsidR="006D4EBD" w:rsidRPr="00C0428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1</w:t>
      </w:r>
      <w:r w:rsidR="006D4EBD" w:rsidRPr="00C04282">
        <w:rPr>
          <w:rFonts w:ascii="Times New Roman" w:eastAsia="Times New Roman" w:hAnsi="Times New Roman" w:cs="Times New Roman"/>
          <w:color w:val="000000"/>
          <w:sz w:val="24"/>
          <w:szCs w:val="24"/>
        </w:rPr>
        <w:t>. Although typically benign, significant ischemia with anatomical intracoronary obstruction do warrant intervention. We present a case where MB with accompanying true luminal stenosis were assessed for physiological obstruction with the help of </w:t>
      </w:r>
      <w:r w:rsidR="006D4EBD" w:rsidRPr="00C04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FFR</w:t>
      </w:r>
      <w:r w:rsidR="006D4EBD" w:rsidRPr="00C04282">
        <w:rPr>
          <w:rFonts w:ascii="Times New Roman" w:eastAsia="Times New Roman" w:hAnsi="Times New Roman" w:cs="Times New Roman"/>
          <w:color w:val="000000"/>
          <w:sz w:val="24"/>
          <w:szCs w:val="24"/>
        </w:rPr>
        <w:t> (functional flow reserve).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C04282" w:rsidRDefault="00C04282" w:rsidP="00C04282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Case: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04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="006D4EBD" w:rsidRPr="00C04282">
        <w:rPr>
          <w:rFonts w:ascii="Times New Roman" w:eastAsia="Times New Roman" w:hAnsi="Times New Roman" w:cs="Times New Roman"/>
          <w:color w:val="000000"/>
          <w:sz w:val="24"/>
          <w:szCs w:val="24"/>
        </w:rPr>
        <w:t>A 78-year-old Hispanic female presented with progressive exertional dyspnea and pedal edema for 3 months, along with severe cardiomyopathy (EF~15%). With this underlying presentation, we performed a pharmacological stress test that showed extensive anterolateral areas of viability and therefore a coronary angiography was performed for invasive evaluation of an ischemic etiology. Angiogram revealed distal LAD systolic obliteration (MB) along with 80% mid LAD stenosis. Adenosine based </w:t>
      </w:r>
      <w:r w:rsidR="006D4EBD" w:rsidRPr="00C04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FFR</w:t>
      </w:r>
      <w:r w:rsidR="006D4EBD" w:rsidRPr="00C04282">
        <w:rPr>
          <w:rFonts w:ascii="Times New Roman" w:eastAsia="Times New Roman" w:hAnsi="Times New Roman" w:cs="Times New Roman"/>
          <w:color w:val="000000"/>
          <w:sz w:val="24"/>
          <w:szCs w:val="24"/>
        </w:rPr>
        <w:t> values were: beyond the MB = 0.71, between the MB and the lesion = 0.80. After a drug eluting stent placement; beyond the MB = 0.70 (unchanged), between the MB and the lesion = 1.00 (improved).</w:t>
      </w:r>
    </w:p>
    <w:p w:rsidR="00C04282" w:rsidRDefault="00C04282" w:rsidP="00C04282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C04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Discussion: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04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="006D4EBD" w:rsidRPr="00C04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FFR</w:t>
      </w:r>
      <w:r w:rsidR="006D4EBD" w:rsidRPr="00C04282">
        <w:rPr>
          <w:rFonts w:ascii="Times New Roman" w:eastAsia="Times New Roman" w:hAnsi="Times New Roman" w:cs="Times New Roman"/>
          <w:color w:val="000000"/>
          <w:sz w:val="24"/>
          <w:szCs w:val="24"/>
        </w:rPr>
        <w:t> has been used in evaluation of physiological significance of MB. However, diastolic </w:t>
      </w:r>
      <w:r w:rsidR="006D4EBD" w:rsidRPr="00C04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FFR</w:t>
      </w:r>
      <w:r w:rsidR="006D4EBD" w:rsidRPr="00C042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using </w:t>
      </w:r>
      <w:proofErr w:type="spellStart"/>
      <w:r w:rsidR="006D4EBD" w:rsidRPr="00C04282">
        <w:rPr>
          <w:rFonts w:ascii="Times New Roman" w:eastAsia="Times New Roman" w:hAnsi="Times New Roman" w:cs="Times New Roman"/>
          <w:color w:val="000000"/>
          <w:sz w:val="24"/>
          <w:szCs w:val="24"/>
        </w:rPr>
        <w:t>ionotropes</w:t>
      </w:r>
      <w:proofErr w:type="spellEnd"/>
      <w:r w:rsidR="006D4EBD" w:rsidRPr="00C042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(dobutamine) appears better (96% sensitive)</w:t>
      </w:r>
      <w:r w:rsidR="006D4EBD" w:rsidRPr="00C0428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6D4EBD" w:rsidRPr="00C04282">
        <w:rPr>
          <w:rFonts w:ascii="Times New Roman" w:eastAsia="Times New Roman" w:hAnsi="Times New Roman" w:cs="Times New Roman"/>
          <w:color w:val="000000"/>
          <w:sz w:val="24"/>
          <w:szCs w:val="24"/>
        </w:rPr>
        <w:t> for physiological assessment of MB compared to mean </w:t>
      </w:r>
      <w:r w:rsidR="006D4EBD" w:rsidRPr="00C04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FFR</w:t>
      </w:r>
      <w:r w:rsidR="006D4EBD" w:rsidRPr="00C04282">
        <w:rPr>
          <w:rFonts w:ascii="Times New Roman" w:eastAsia="Times New Roman" w:hAnsi="Times New Roman" w:cs="Times New Roman"/>
          <w:color w:val="000000"/>
          <w:sz w:val="24"/>
          <w:szCs w:val="24"/>
        </w:rPr>
        <w:t>. In addition, inotrope based </w:t>
      </w:r>
      <w:r w:rsidR="006D4EBD" w:rsidRPr="00C04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FFR</w:t>
      </w:r>
      <w:r w:rsidR="006D4EBD" w:rsidRPr="00C04282">
        <w:rPr>
          <w:rFonts w:ascii="Times New Roman" w:eastAsia="Times New Roman" w:hAnsi="Times New Roman" w:cs="Times New Roman"/>
          <w:color w:val="000000"/>
          <w:sz w:val="24"/>
          <w:szCs w:val="24"/>
        </w:rPr>
        <w:t> may not be routinely available at many centers. Use of </w:t>
      </w:r>
      <w:proofErr w:type="spellStart"/>
      <w:r w:rsidR="006D4EBD" w:rsidRPr="00C04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iFR</w:t>
      </w:r>
      <w:proofErr w:type="spellEnd"/>
      <w:r w:rsidR="006D4EBD" w:rsidRPr="00C04282">
        <w:rPr>
          <w:rFonts w:ascii="Times New Roman" w:eastAsia="Times New Roman" w:hAnsi="Times New Roman" w:cs="Times New Roman"/>
          <w:color w:val="000000"/>
          <w:sz w:val="24"/>
          <w:szCs w:val="24"/>
        </w:rPr>
        <w:t> (Instantaneous Wave-free ratio) to help guide therapy is yet under-explored, despite non-inferior results when compared to </w:t>
      </w:r>
      <w:r w:rsidR="006D4EBD" w:rsidRPr="00C04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FFR</w:t>
      </w:r>
      <w:r w:rsidR="006D4EBD" w:rsidRPr="00C0428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="006D4EBD" w:rsidRPr="00C042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In this case, when MB and atherosclerotic narrowing involved the same vessel, </w:t>
      </w:r>
      <w:proofErr w:type="gramStart"/>
      <w:r w:rsidR="006D4EBD" w:rsidRPr="00C04282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proofErr w:type="gramEnd"/>
      <w:r w:rsidR="006D4EBD" w:rsidRPr="00C0428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6D4EBD" w:rsidRPr="00C04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FFR</w:t>
      </w:r>
      <w:r w:rsidR="006D4EBD" w:rsidRPr="00C04282">
        <w:rPr>
          <w:rFonts w:ascii="Times New Roman" w:eastAsia="Times New Roman" w:hAnsi="Times New Roman" w:cs="Times New Roman"/>
          <w:color w:val="000000"/>
          <w:sz w:val="24"/>
          <w:szCs w:val="24"/>
        </w:rPr>
        <w:t>-guided approach helped us to reach conclusion.</w:t>
      </w:r>
    </w:p>
    <w:p w:rsidR="00C04282" w:rsidRDefault="00C04282" w:rsidP="00C04282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282">
        <w:rPr>
          <w:rFonts w:ascii="Times New Roman" w:eastAsia="Times New Roman" w:hAnsi="Times New Roman" w:cs="Times New Roman"/>
          <w:color w:val="000000"/>
          <w:sz w:val="24"/>
          <w:szCs w:val="24"/>
        </w:rPr>
        <w:t>References:</w:t>
      </w:r>
      <w:r w:rsidRPr="00C0428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6D4EBD" w:rsidRPr="00C04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1. </w:t>
      </w:r>
      <w:r w:rsidR="006D4EBD" w:rsidRPr="00C04282">
        <w:rPr>
          <w:rFonts w:ascii="Times New Roman" w:eastAsia="Times New Roman" w:hAnsi="Times New Roman" w:cs="Times New Roman"/>
          <w:color w:val="000000"/>
          <w:sz w:val="24"/>
          <w:szCs w:val="24"/>
        </w:rPr>
        <w:t>Lee MS, Chen CH. Myocardial Bridging: An Up-to-Date Review. The Journal of invasive cardiology. 2015;27(11):521-8.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C04282" w:rsidRDefault="006D4EBD" w:rsidP="00C04282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2. </w:t>
      </w:r>
      <w:r w:rsidRPr="00C042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Hakeem A, </w:t>
      </w:r>
      <w:proofErr w:type="spellStart"/>
      <w:r w:rsidRPr="00C04282">
        <w:rPr>
          <w:rFonts w:ascii="Times New Roman" w:eastAsia="Times New Roman" w:hAnsi="Times New Roman" w:cs="Times New Roman"/>
          <w:color w:val="000000"/>
          <w:sz w:val="24"/>
          <w:szCs w:val="24"/>
        </w:rPr>
        <w:t>Cilingiroglu</w:t>
      </w:r>
      <w:proofErr w:type="spellEnd"/>
      <w:r w:rsidRPr="00C042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M, </w:t>
      </w:r>
      <w:proofErr w:type="spellStart"/>
      <w:r w:rsidRPr="00C04282">
        <w:rPr>
          <w:rFonts w:ascii="Times New Roman" w:eastAsia="Times New Roman" w:hAnsi="Times New Roman" w:cs="Times New Roman"/>
          <w:color w:val="000000"/>
          <w:sz w:val="24"/>
          <w:szCs w:val="24"/>
        </w:rPr>
        <w:t>Leesar</w:t>
      </w:r>
      <w:proofErr w:type="spellEnd"/>
      <w:r w:rsidRPr="00C042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MA. Hemodynamic and intravascular ultrasound assessment of myocardial bridging: </w:t>
      </w:r>
      <w:r w:rsidRPr="00C04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FFR</w:t>
      </w:r>
      <w:r w:rsidRPr="00C042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paradox with dobutamine versus adenosine. Catheterization and cardiovascular </w:t>
      </w:r>
      <w:proofErr w:type="gramStart"/>
      <w:r w:rsidRPr="00C04282">
        <w:rPr>
          <w:rFonts w:ascii="Times New Roman" w:eastAsia="Times New Roman" w:hAnsi="Times New Roman" w:cs="Times New Roman"/>
          <w:color w:val="000000"/>
          <w:sz w:val="24"/>
          <w:szCs w:val="24"/>
        </w:rPr>
        <w:t>interventions :</w:t>
      </w:r>
      <w:proofErr w:type="gramEnd"/>
      <w:r w:rsidRPr="00C042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official journal of the Society for Cardiac Angiography &amp; Interventions. 2010;75(2):229-36.</w:t>
      </w:r>
      <w:r w:rsidR="00C042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:rsidR="006D4EBD" w:rsidRPr="00C04282" w:rsidRDefault="006D4EBD" w:rsidP="00C04282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3. </w:t>
      </w:r>
      <w:r w:rsidRPr="00C04282">
        <w:rPr>
          <w:rFonts w:ascii="Times New Roman" w:eastAsia="Times New Roman" w:hAnsi="Times New Roman" w:cs="Times New Roman"/>
          <w:color w:val="000000"/>
          <w:sz w:val="24"/>
          <w:szCs w:val="24"/>
        </w:rPr>
        <w:t>Instantaneous Wave-free Ratio versus Fractional Flow Reserve. </w:t>
      </w:r>
      <w:r w:rsidRPr="00C04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NEJM</w:t>
      </w:r>
      <w:r w:rsidRPr="00C04282">
        <w:rPr>
          <w:rFonts w:ascii="Times New Roman" w:eastAsia="Times New Roman" w:hAnsi="Times New Roman" w:cs="Times New Roman"/>
          <w:color w:val="000000"/>
          <w:sz w:val="24"/>
          <w:szCs w:val="24"/>
        </w:rPr>
        <w:t>. 2017;377(16):1595-9.</w:t>
      </w:r>
    </w:p>
    <w:p w:rsidR="006D4EBD" w:rsidRPr="00C04282" w:rsidRDefault="006D4EBD" w:rsidP="00C0428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45DBB" w:rsidRPr="00C04282" w:rsidRDefault="00FA7391" w:rsidP="00C04282">
      <w:pPr>
        <w:rPr>
          <w:sz w:val="24"/>
          <w:szCs w:val="24"/>
        </w:rPr>
      </w:pPr>
    </w:p>
    <w:sectPr w:rsidR="00345DBB" w:rsidRPr="00C0428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7391" w:rsidRDefault="00FA7391" w:rsidP="00C04282">
      <w:r>
        <w:separator/>
      </w:r>
    </w:p>
  </w:endnote>
  <w:endnote w:type="continuationSeparator" w:id="0">
    <w:p w:rsidR="00FA7391" w:rsidRDefault="00FA7391" w:rsidP="00C04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7391" w:rsidRDefault="00FA7391" w:rsidP="00C04282">
      <w:r>
        <w:separator/>
      </w:r>
    </w:p>
  </w:footnote>
  <w:footnote w:type="continuationSeparator" w:id="0">
    <w:p w:rsidR="00FA7391" w:rsidRDefault="00FA7391" w:rsidP="00C042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4282" w:rsidRPr="00C04282" w:rsidRDefault="00C04282" w:rsidP="00C04282">
    <w:pPr>
      <w:rPr>
        <w:rFonts w:ascii="Times New Roman" w:eastAsia="Times New Roman" w:hAnsi="Times New Roman" w:cs="Times New Roman"/>
        <w:color w:val="000000"/>
        <w:sz w:val="24"/>
        <w:szCs w:val="24"/>
      </w:rPr>
    </w:pPr>
    <w:r w:rsidRPr="00C04282">
      <w:rPr>
        <w:rFonts w:ascii="Times New Roman" w:eastAsia="Times New Roman" w:hAnsi="Times New Roman" w:cs="Times New Roman"/>
        <w:color w:val="000000"/>
        <w:sz w:val="24"/>
        <w:szCs w:val="24"/>
      </w:rPr>
      <w:t>18-A-500-IAC</w:t>
    </w:r>
  </w:p>
  <w:p w:rsidR="00C04282" w:rsidRPr="00C04282" w:rsidRDefault="00C04282" w:rsidP="00C04282">
    <w:pPr>
      <w:rPr>
        <w:rFonts w:ascii="Times New Roman" w:eastAsia="Times New Roman" w:hAnsi="Times New Roman" w:cs="Times New Roman"/>
        <w:color w:val="000000"/>
        <w:sz w:val="24"/>
        <w:szCs w:val="24"/>
      </w:rPr>
    </w:pPr>
    <w:r w:rsidRPr="00C04282">
      <w:rPr>
        <w:rFonts w:ascii="Times New Roman" w:eastAsia="Times New Roman" w:hAnsi="Times New Roman" w:cs="Times New Roman"/>
        <w:color w:val="000000"/>
        <w:sz w:val="24"/>
        <w:szCs w:val="24"/>
      </w:rPr>
      <w:t>19. Coronary Artery Disease / Stable Ischemic Heart Disease</w:t>
    </w:r>
  </w:p>
  <w:p w:rsidR="00C04282" w:rsidRDefault="00C04282">
    <w:pPr>
      <w:pStyle w:val="Header"/>
    </w:pPr>
  </w:p>
  <w:p w:rsidR="00C04282" w:rsidRDefault="00C0428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EBD"/>
    <w:rsid w:val="0030401F"/>
    <w:rsid w:val="006D4EBD"/>
    <w:rsid w:val="008A10D5"/>
    <w:rsid w:val="00A128E1"/>
    <w:rsid w:val="00C04282"/>
    <w:rsid w:val="00E7251E"/>
    <w:rsid w:val="00FA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A92B5"/>
  <w15:chartTrackingRefBased/>
  <w15:docId w15:val="{DBC3527B-6C61-44AB-844E-2FFFF2C3C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4E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42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4282"/>
  </w:style>
  <w:style w:type="paragraph" w:styleId="Footer">
    <w:name w:val="footer"/>
    <w:basedOn w:val="Normal"/>
    <w:link w:val="FooterChar"/>
    <w:uiPriority w:val="99"/>
    <w:unhideWhenUsed/>
    <w:rsid w:val="00C042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42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Karyn Nahari</dc:creator>
  <cp:keywords/>
  <dc:description/>
  <cp:lastModifiedBy>Karyn Nahari</cp:lastModifiedBy>
  <cp:revision>2</cp:revision>
  <dcterms:created xsi:type="dcterms:W3CDTF">2018-06-04T05:05:00Z</dcterms:created>
  <dcterms:modified xsi:type="dcterms:W3CDTF">2018-06-04T05:09:00Z</dcterms:modified>
</cp:coreProperties>
</file>